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B0" w:rsidRDefault="003D4DB0">
      <w:pPr>
        <w:widowControl w:val="0"/>
        <w:pBdr>
          <w:top w:val="nil"/>
          <w:left w:val="nil"/>
          <w:bottom w:val="nil"/>
          <w:right w:val="nil"/>
          <w:between w:val="nil"/>
        </w:pBdr>
        <w:spacing w:line="276" w:lineRule="auto"/>
        <w:rPr>
          <w:color w:val="000000"/>
          <w:sz w:val="22"/>
          <w:szCs w:val="22"/>
        </w:rPr>
      </w:pPr>
    </w:p>
    <w:tbl>
      <w:tblPr>
        <w:tblStyle w:val="a"/>
        <w:tblW w:w="11016" w:type="dxa"/>
        <w:tblBorders>
          <w:top w:val="nil"/>
          <w:left w:val="nil"/>
          <w:bottom w:val="nil"/>
          <w:right w:val="nil"/>
          <w:insideH w:val="nil"/>
          <w:insideV w:val="nil"/>
        </w:tblBorders>
        <w:tblLayout w:type="fixed"/>
        <w:tblLook w:val="0400" w:firstRow="0" w:lastRow="0" w:firstColumn="0" w:lastColumn="0" w:noHBand="0" w:noVBand="1"/>
      </w:tblPr>
      <w:tblGrid>
        <w:gridCol w:w="1842"/>
        <w:gridCol w:w="9174"/>
      </w:tblGrid>
      <w:tr w:rsidR="003D4DB0">
        <w:trPr>
          <w:trHeight w:val="1872"/>
        </w:trPr>
        <w:tc>
          <w:tcPr>
            <w:tcW w:w="1842" w:type="dxa"/>
          </w:tcPr>
          <w:p w:rsidR="003D4DB0" w:rsidRDefault="00982761">
            <w:r>
              <w:rPr>
                <w:noProof/>
              </w:rPr>
              <w:drawing>
                <wp:inline distT="0" distB="0" distL="0" distR="0">
                  <wp:extent cx="1032755" cy="9144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32755" cy="914400"/>
                          </a:xfrm>
                          <a:prstGeom prst="rect">
                            <a:avLst/>
                          </a:prstGeom>
                          <a:ln/>
                        </pic:spPr>
                      </pic:pic>
                    </a:graphicData>
                  </a:graphic>
                </wp:inline>
              </w:drawing>
            </w:r>
          </w:p>
        </w:tc>
        <w:tc>
          <w:tcPr>
            <w:tcW w:w="9174" w:type="dxa"/>
          </w:tcPr>
          <w:p w:rsidR="003D4DB0" w:rsidRDefault="00982761">
            <w:pPr>
              <w:spacing w:before="120" w:after="120"/>
              <w:rPr>
                <w:b/>
                <w:color w:val="861714"/>
                <w:sz w:val="40"/>
                <w:szCs w:val="40"/>
              </w:rPr>
            </w:pPr>
            <w:r>
              <w:rPr>
                <w:b/>
                <w:color w:val="861714"/>
                <w:sz w:val="40"/>
                <w:szCs w:val="40"/>
              </w:rPr>
              <w:t>Texas Deafb</w:t>
            </w:r>
            <w:r>
              <w:rPr>
                <w:b/>
                <w:color w:val="861714"/>
                <w:sz w:val="40"/>
                <w:szCs w:val="40"/>
              </w:rPr>
              <w:t>lind Outreach</w:t>
            </w:r>
          </w:p>
          <w:p w:rsidR="003D4DB0" w:rsidRDefault="00982761">
            <w:pPr>
              <w:spacing w:before="120" w:after="120"/>
              <w:rPr>
                <w:color w:val="861714"/>
                <w:sz w:val="32"/>
                <w:szCs w:val="32"/>
              </w:rPr>
            </w:pPr>
            <w:r>
              <w:rPr>
                <w:color w:val="861714"/>
                <w:sz w:val="32"/>
                <w:szCs w:val="32"/>
              </w:rPr>
              <w:t xml:space="preserve">A division of Texas School for the Blind &amp; Visually Impaired </w:t>
            </w:r>
          </w:p>
          <w:p w:rsidR="003D4DB0" w:rsidRDefault="00982761">
            <w:pPr>
              <w:spacing w:before="120" w:after="120"/>
              <w:rPr>
                <w:color w:val="861714"/>
                <w:sz w:val="32"/>
                <w:szCs w:val="32"/>
              </w:rPr>
            </w:pPr>
            <w:r>
              <w:rPr>
                <w:color w:val="861714"/>
                <w:sz w:val="32"/>
                <w:szCs w:val="32"/>
              </w:rPr>
              <w:t>Outreach Programs</w:t>
            </w:r>
          </w:p>
          <w:p w:rsidR="003D4DB0" w:rsidRDefault="00982761">
            <w:pPr>
              <w:spacing w:before="120" w:after="120"/>
              <w:rPr>
                <w:sz w:val="28"/>
                <w:szCs w:val="28"/>
              </w:rPr>
            </w:pPr>
            <w:hyperlink r:id="rId7">
              <w:r>
                <w:rPr>
                  <w:color w:val="0000FF"/>
                  <w:sz w:val="28"/>
                  <w:szCs w:val="28"/>
                  <w:u w:val="single"/>
                </w:rPr>
                <w:t>www.tsbvi.edu</w:t>
              </w:r>
            </w:hyperlink>
            <w:r>
              <w:rPr>
                <w:color w:val="861714"/>
                <w:sz w:val="28"/>
                <w:szCs w:val="28"/>
              </w:rPr>
              <w:t xml:space="preserve"> | 512-454-8631 | 1100 W. 45</w:t>
            </w:r>
            <w:r>
              <w:rPr>
                <w:color w:val="861714"/>
                <w:sz w:val="28"/>
                <w:szCs w:val="28"/>
                <w:vertAlign w:val="superscript"/>
              </w:rPr>
              <w:t>th</w:t>
            </w:r>
            <w:r>
              <w:rPr>
                <w:color w:val="861714"/>
                <w:sz w:val="28"/>
                <w:szCs w:val="28"/>
              </w:rPr>
              <w:t xml:space="preserve"> St. | Austin, TX 78756</w:t>
            </w:r>
          </w:p>
        </w:tc>
      </w:tr>
    </w:tbl>
    <w:p w:rsidR="003D4DB0" w:rsidRDefault="00982761">
      <w:bookmarkStart w:id="0" w:name="_GoBack"/>
      <w:r>
        <w:rPr>
          <w:noProof/>
        </w:rPr>
        <w:drawing>
          <wp:anchor distT="0" distB="0" distL="114300" distR="114300" simplePos="0" relativeHeight="251658240" behindDoc="0" locked="0" layoutInCell="1" hidden="0" allowOverlap="1" wp14:anchorId="0AE2B97B" wp14:editId="36F24E8B">
            <wp:simplePos x="0" y="0"/>
            <wp:positionH relativeFrom="margin">
              <wp:align>left</wp:align>
            </wp:positionH>
            <wp:positionV relativeFrom="paragraph">
              <wp:posOffset>176530</wp:posOffset>
            </wp:positionV>
            <wp:extent cx="2208530" cy="1330325"/>
            <wp:effectExtent l="0" t="0" r="1270" b="3175"/>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08530" cy="1330325"/>
                    </a:xfrm>
                    <a:prstGeom prst="rect">
                      <a:avLst/>
                    </a:prstGeom>
                    <a:ln/>
                  </pic:spPr>
                </pic:pic>
              </a:graphicData>
            </a:graphic>
            <wp14:sizeRelH relativeFrom="margin">
              <wp14:pctWidth>0</wp14:pctWidth>
            </wp14:sizeRelH>
            <wp14:sizeRelV relativeFrom="margin">
              <wp14:pctHeight>0</wp14:pctHeight>
            </wp14:sizeRelV>
          </wp:anchor>
        </w:drawing>
      </w:r>
      <w:bookmarkEnd w:id="0"/>
    </w:p>
    <w:p w:rsidR="003D4DB0" w:rsidRDefault="00982761">
      <w:r>
        <w:t>A person with vision loss who also has hearing loss may have limited access to information from the environment, which makes learning difficult. When this occurs the child may be considered deafblind. Specialized accommodations and supports in school enabl</w:t>
      </w:r>
      <w:r>
        <w:t xml:space="preserve">e children who are deafblind to learn, communicate, and interact with the world. </w:t>
      </w:r>
    </w:p>
    <w:p w:rsidR="003D4DB0" w:rsidRDefault="003D4DB0">
      <w:pPr>
        <w:rPr>
          <w:b/>
          <w:u w:val="single"/>
        </w:rPr>
      </w:pPr>
    </w:p>
    <w:p w:rsidR="003D4DB0" w:rsidRDefault="00982761">
      <w:r>
        <w:t>The Texas Deafblind Project, located at Texas School for the Blind &amp; Visually Impaired in Austin, is a federally funded grant program whose mission is to support individual</w:t>
      </w:r>
      <w:r>
        <w:t xml:space="preserve">s who are </w:t>
      </w:r>
      <w:proofErr w:type="spellStart"/>
      <w:r>
        <w:t>DeafBlind</w:t>
      </w:r>
      <w:proofErr w:type="spellEnd"/>
      <w:r>
        <w:t xml:space="preserve"> (birth through age 22) and their families. As part of the TSBVI Outreach Programs, we partner and work in collaboration with the public and charter schools and Education Service Centers of Texas. To learn more about our Project or reque</w:t>
      </w:r>
      <w:r>
        <w:t xml:space="preserve">st a service, visit us on the web at </w:t>
      </w:r>
      <w:hyperlink r:id="rId9">
        <w:r>
          <w:rPr>
            <w:color w:val="0000FF"/>
            <w:u w:val="single"/>
          </w:rPr>
          <w:t>https://tinyurl.com/tsbvi-deafblindproject</w:t>
        </w:r>
      </w:hyperlink>
      <w:r>
        <w:t xml:space="preserve"> or contact us at 512-454-8631. </w:t>
      </w:r>
    </w:p>
    <w:p w:rsidR="003D4DB0" w:rsidRDefault="00982761">
      <w:pPr>
        <w:pStyle w:val="Heading1"/>
      </w:pPr>
      <w:r>
        <w:t xml:space="preserve">Services </w:t>
      </w:r>
    </w:p>
    <w:p w:rsidR="003D4DB0" w:rsidRDefault="00982761">
      <w:pPr>
        <w:numPr>
          <w:ilvl w:val="0"/>
          <w:numId w:val="2"/>
        </w:numPr>
        <w:pBdr>
          <w:top w:val="nil"/>
          <w:left w:val="nil"/>
          <w:bottom w:val="nil"/>
          <w:right w:val="nil"/>
          <w:between w:val="nil"/>
        </w:pBdr>
        <w:spacing w:before="60" w:after="60"/>
        <w:rPr>
          <w:i/>
          <w:color w:val="000000"/>
        </w:rPr>
      </w:pPr>
      <w:r>
        <w:rPr>
          <w:color w:val="000000"/>
        </w:rPr>
        <w:t xml:space="preserve">Free newsletter about visual impairments and </w:t>
      </w:r>
      <w:r>
        <w:t>deafblind</w:t>
      </w:r>
      <w:r>
        <w:rPr>
          <w:color w:val="000000"/>
        </w:rPr>
        <w:t xml:space="preserve">, </w:t>
      </w:r>
      <w:hyperlink r:id="rId10">
        <w:r>
          <w:rPr>
            <w:i/>
            <w:color w:val="0000FF"/>
            <w:u w:val="single"/>
          </w:rPr>
          <w:t>TX Sense Abilities</w:t>
        </w:r>
      </w:hyperlink>
    </w:p>
    <w:p w:rsidR="003D4DB0" w:rsidRDefault="00982761">
      <w:pPr>
        <w:numPr>
          <w:ilvl w:val="0"/>
          <w:numId w:val="2"/>
        </w:numPr>
        <w:pBdr>
          <w:top w:val="nil"/>
          <w:left w:val="nil"/>
          <w:bottom w:val="nil"/>
          <w:right w:val="nil"/>
          <w:between w:val="nil"/>
        </w:pBdr>
        <w:spacing w:before="60" w:after="60"/>
      </w:pPr>
      <w:r>
        <w:rPr>
          <w:color w:val="000000"/>
        </w:rPr>
        <w:t>Support, information, and training statewide online and in person for families and professionals</w:t>
      </w:r>
    </w:p>
    <w:p w:rsidR="003D4DB0" w:rsidRDefault="00982761">
      <w:pPr>
        <w:numPr>
          <w:ilvl w:val="0"/>
          <w:numId w:val="2"/>
        </w:numPr>
        <w:pBdr>
          <w:top w:val="nil"/>
          <w:left w:val="nil"/>
          <w:bottom w:val="nil"/>
          <w:right w:val="nil"/>
          <w:between w:val="nil"/>
        </w:pBdr>
        <w:spacing w:before="60" w:after="60"/>
      </w:pPr>
      <w:bookmarkStart w:id="1" w:name="_heading=h.gjdgxs" w:colFirst="0" w:colLast="0"/>
      <w:bookmarkEnd w:id="1"/>
      <w:r>
        <w:rPr>
          <w:color w:val="000000"/>
        </w:rPr>
        <w:t>School consultation and technical assistance for families, te</w:t>
      </w:r>
      <w:r>
        <w:rPr>
          <w:color w:val="000000"/>
        </w:rPr>
        <w:t xml:space="preserve">achers, paraprofessionals, and programs serving students (birth-22) who are </w:t>
      </w:r>
      <w:r>
        <w:t>deafb</w:t>
      </w:r>
      <w:r>
        <w:rPr>
          <w:color w:val="000000"/>
        </w:rPr>
        <w:t>lind</w:t>
      </w:r>
    </w:p>
    <w:p w:rsidR="003D4DB0" w:rsidRDefault="00982761">
      <w:pPr>
        <w:numPr>
          <w:ilvl w:val="0"/>
          <w:numId w:val="2"/>
        </w:numPr>
        <w:pBdr>
          <w:top w:val="nil"/>
          <w:left w:val="nil"/>
          <w:bottom w:val="nil"/>
          <w:right w:val="nil"/>
          <w:between w:val="nil"/>
        </w:pBdr>
        <w:spacing w:before="60" w:after="60"/>
      </w:pPr>
      <w:r>
        <w:rPr>
          <w:color w:val="000000"/>
        </w:rPr>
        <w:t>Information and referral for families and professionals</w:t>
      </w:r>
    </w:p>
    <w:p w:rsidR="003D4DB0" w:rsidRDefault="00982761">
      <w:pPr>
        <w:numPr>
          <w:ilvl w:val="0"/>
          <w:numId w:val="2"/>
        </w:numPr>
        <w:pBdr>
          <w:top w:val="nil"/>
          <w:left w:val="nil"/>
          <w:bottom w:val="nil"/>
          <w:right w:val="nil"/>
          <w:between w:val="nil"/>
        </w:pBdr>
        <w:spacing w:before="60" w:after="60"/>
      </w:pPr>
      <w:r>
        <w:rPr>
          <w:color w:val="000000"/>
        </w:rPr>
        <w:t>Funding assistance for families to attend training</w:t>
      </w:r>
    </w:p>
    <w:p w:rsidR="003D4DB0" w:rsidRDefault="00982761">
      <w:pPr>
        <w:numPr>
          <w:ilvl w:val="0"/>
          <w:numId w:val="2"/>
        </w:numPr>
        <w:pBdr>
          <w:top w:val="nil"/>
          <w:left w:val="nil"/>
          <w:bottom w:val="nil"/>
          <w:right w:val="nil"/>
          <w:between w:val="nil"/>
        </w:pBdr>
        <w:spacing w:before="60" w:after="60"/>
      </w:pPr>
      <w:r>
        <w:rPr>
          <w:color w:val="000000"/>
        </w:rPr>
        <w:t>Access to technology loans for schools to try out assistive tec</w:t>
      </w:r>
      <w:r>
        <w:rPr>
          <w:color w:val="000000"/>
        </w:rPr>
        <w:t>hnology before purchase</w:t>
      </w:r>
    </w:p>
    <w:p w:rsidR="003D4DB0" w:rsidRDefault="00982761">
      <w:pPr>
        <w:pStyle w:val="Heading1"/>
      </w:pPr>
      <w:r>
        <w:t>Texas Deafb</w:t>
      </w:r>
      <w:r>
        <w:t>lind Project</w:t>
      </w:r>
      <w:r>
        <w:t xml:space="preserve"> Staff</w:t>
      </w:r>
    </w:p>
    <w:p w:rsidR="003D4DB0" w:rsidRDefault="00982761">
      <w:pPr>
        <w:numPr>
          <w:ilvl w:val="0"/>
          <w:numId w:val="1"/>
        </w:numPr>
        <w:pBdr>
          <w:top w:val="nil"/>
          <w:left w:val="nil"/>
          <w:bottom w:val="nil"/>
          <w:right w:val="nil"/>
          <w:between w:val="nil"/>
        </w:pBdr>
        <w:spacing w:before="60" w:after="60"/>
      </w:pPr>
      <w:r>
        <w:rPr>
          <w:color w:val="000000"/>
        </w:rPr>
        <w:t xml:space="preserve">Kate Borg, Director of Outreach, </w:t>
      </w:r>
      <w:hyperlink r:id="rId11">
        <w:r>
          <w:rPr>
            <w:color w:val="0000FF"/>
            <w:u w:val="single"/>
          </w:rPr>
          <w:t>borgk@tsbvi.edu</w:t>
        </w:r>
      </w:hyperlink>
      <w:r>
        <w:rPr>
          <w:color w:val="000000"/>
        </w:rPr>
        <w:t>, 512-206-9242</w:t>
      </w:r>
    </w:p>
    <w:p w:rsidR="003D4DB0" w:rsidRDefault="00982761">
      <w:pPr>
        <w:numPr>
          <w:ilvl w:val="0"/>
          <w:numId w:val="1"/>
        </w:numPr>
        <w:pBdr>
          <w:top w:val="nil"/>
          <w:left w:val="nil"/>
          <w:bottom w:val="nil"/>
          <w:right w:val="nil"/>
          <w:between w:val="nil"/>
        </w:pBdr>
        <w:spacing w:before="60" w:after="60"/>
      </w:pPr>
      <w:r>
        <w:rPr>
          <w:color w:val="000000"/>
        </w:rPr>
        <w:t xml:space="preserve">Suzanne Slade, Administrative Assistant, </w:t>
      </w:r>
      <w:hyperlink r:id="rId12">
        <w:r>
          <w:rPr>
            <w:color w:val="0000FF"/>
            <w:u w:val="single"/>
          </w:rPr>
          <w:t>slades@tsbvi</w:t>
        </w:r>
        <w:r>
          <w:rPr>
            <w:color w:val="0000FF"/>
            <w:u w:val="single"/>
          </w:rPr>
          <w:t>.edu</w:t>
        </w:r>
      </w:hyperlink>
      <w:r>
        <w:rPr>
          <w:color w:val="000000"/>
        </w:rPr>
        <w:t>, 512-206-9103</w:t>
      </w:r>
    </w:p>
    <w:p w:rsidR="003D4DB0" w:rsidRDefault="00982761">
      <w:pPr>
        <w:numPr>
          <w:ilvl w:val="0"/>
          <w:numId w:val="1"/>
        </w:numPr>
        <w:pBdr>
          <w:top w:val="nil"/>
          <w:left w:val="nil"/>
          <w:bottom w:val="nil"/>
          <w:right w:val="nil"/>
          <w:between w:val="nil"/>
        </w:pBdr>
        <w:spacing w:before="60" w:after="60"/>
      </w:pPr>
      <w:r>
        <w:rPr>
          <w:color w:val="000000"/>
        </w:rPr>
        <w:t xml:space="preserve">Brian </w:t>
      </w:r>
      <w:proofErr w:type="spellStart"/>
      <w:r>
        <w:rPr>
          <w:color w:val="000000"/>
        </w:rPr>
        <w:t>Sobeck</w:t>
      </w:r>
      <w:proofErr w:type="spellEnd"/>
      <w:r>
        <w:rPr>
          <w:color w:val="000000"/>
        </w:rPr>
        <w:t xml:space="preserve">, </w:t>
      </w:r>
      <w:proofErr w:type="spellStart"/>
      <w:r>
        <w:rPr>
          <w:color w:val="000000"/>
        </w:rPr>
        <w:t>DeafBlind</w:t>
      </w:r>
      <w:proofErr w:type="spellEnd"/>
      <w:r>
        <w:rPr>
          <w:color w:val="000000"/>
        </w:rPr>
        <w:t xml:space="preserve"> Child Count, </w:t>
      </w:r>
      <w:hyperlink r:id="rId13">
        <w:r>
          <w:rPr>
            <w:color w:val="0000FF"/>
            <w:u w:val="single"/>
          </w:rPr>
          <w:t>sobeckb@tsbvi.edu</w:t>
        </w:r>
      </w:hyperlink>
      <w:r>
        <w:rPr>
          <w:color w:val="000000"/>
        </w:rPr>
        <w:t>, 512-206-9225</w:t>
      </w:r>
    </w:p>
    <w:p w:rsidR="003D4DB0" w:rsidRDefault="00982761">
      <w:pPr>
        <w:numPr>
          <w:ilvl w:val="0"/>
          <w:numId w:val="1"/>
        </w:numPr>
        <w:pBdr>
          <w:top w:val="nil"/>
          <w:left w:val="nil"/>
          <w:bottom w:val="nil"/>
          <w:right w:val="nil"/>
          <w:between w:val="nil"/>
        </w:pBdr>
        <w:spacing w:before="60" w:after="60"/>
      </w:pPr>
      <w:proofErr w:type="spellStart"/>
      <w:r>
        <w:rPr>
          <w:color w:val="000000"/>
        </w:rPr>
        <w:t>Edgenie</w:t>
      </w:r>
      <w:proofErr w:type="spellEnd"/>
      <w:r>
        <w:rPr>
          <w:color w:val="000000"/>
        </w:rPr>
        <w:t xml:space="preserve"> </w:t>
      </w:r>
      <w:proofErr w:type="spellStart"/>
      <w:r>
        <w:rPr>
          <w:color w:val="000000"/>
        </w:rPr>
        <w:t>Bellah</w:t>
      </w:r>
      <w:proofErr w:type="spellEnd"/>
      <w:r>
        <w:rPr>
          <w:color w:val="000000"/>
        </w:rPr>
        <w:t xml:space="preserve">, Family Engagement Consultant, </w:t>
      </w:r>
      <w:hyperlink r:id="rId14">
        <w:r>
          <w:rPr>
            <w:color w:val="0000FF"/>
            <w:u w:val="single"/>
          </w:rPr>
          <w:t>bellahe@tsbvi.edu</w:t>
        </w:r>
      </w:hyperlink>
      <w:r>
        <w:rPr>
          <w:color w:val="000000"/>
        </w:rPr>
        <w:t>, 512-206-9423</w:t>
      </w:r>
    </w:p>
    <w:p w:rsidR="003D4DB0" w:rsidRDefault="00982761">
      <w:pPr>
        <w:numPr>
          <w:ilvl w:val="0"/>
          <w:numId w:val="1"/>
        </w:numPr>
        <w:pBdr>
          <w:top w:val="nil"/>
          <w:left w:val="nil"/>
          <w:bottom w:val="nil"/>
          <w:right w:val="nil"/>
          <w:between w:val="nil"/>
        </w:pBdr>
        <w:spacing w:before="60" w:after="60"/>
      </w:pPr>
      <w:r>
        <w:rPr>
          <w:color w:val="000000"/>
        </w:rPr>
        <w:t>De</w:t>
      </w:r>
      <w:r>
        <w:rPr>
          <w:color w:val="000000"/>
        </w:rPr>
        <w:t xml:space="preserve">anna Peterson, Early Childhood Consultant, </w:t>
      </w:r>
      <w:hyperlink r:id="rId15">
        <w:r>
          <w:rPr>
            <w:color w:val="0000FF"/>
            <w:u w:val="single"/>
          </w:rPr>
          <w:t>petersond@tsbvi.edu</w:t>
        </w:r>
      </w:hyperlink>
      <w:r>
        <w:rPr>
          <w:color w:val="000000"/>
        </w:rPr>
        <w:t>, 512-206-9330</w:t>
      </w:r>
    </w:p>
    <w:p w:rsidR="003D4DB0" w:rsidRDefault="00982761">
      <w:pPr>
        <w:numPr>
          <w:ilvl w:val="0"/>
          <w:numId w:val="1"/>
        </w:numPr>
        <w:pBdr>
          <w:top w:val="nil"/>
          <w:left w:val="nil"/>
          <w:bottom w:val="nil"/>
          <w:right w:val="nil"/>
          <w:between w:val="nil"/>
        </w:pBdr>
        <w:spacing w:before="60" w:after="60"/>
      </w:pPr>
      <w:r>
        <w:rPr>
          <w:color w:val="000000"/>
        </w:rPr>
        <w:t xml:space="preserve">Kaycee Bennett, Education Consultant, </w:t>
      </w:r>
      <w:hyperlink r:id="rId16">
        <w:r>
          <w:rPr>
            <w:color w:val="0000FF"/>
            <w:u w:val="single"/>
          </w:rPr>
          <w:t>bennettk@tsbvi.edu</w:t>
        </w:r>
      </w:hyperlink>
      <w:r>
        <w:rPr>
          <w:color w:val="000000"/>
        </w:rPr>
        <w:t xml:space="preserve">, </w:t>
      </w:r>
      <w:r>
        <w:rPr>
          <w:color w:val="222222"/>
          <w:highlight w:val="white"/>
        </w:rPr>
        <w:t>512-287-0726</w:t>
      </w:r>
    </w:p>
    <w:p w:rsidR="003D4DB0" w:rsidRDefault="00982761">
      <w:pPr>
        <w:numPr>
          <w:ilvl w:val="0"/>
          <w:numId w:val="1"/>
        </w:numPr>
        <w:pBdr>
          <w:top w:val="nil"/>
          <w:left w:val="nil"/>
          <w:bottom w:val="nil"/>
          <w:right w:val="nil"/>
          <w:between w:val="nil"/>
        </w:pBdr>
        <w:spacing w:before="60" w:after="60"/>
      </w:pPr>
      <w:r>
        <w:rPr>
          <w:color w:val="000000"/>
        </w:rPr>
        <w:t xml:space="preserve">Adam Graves, Education Consultant, </w:t>
      </w:r>
      <w:hyperlink r:id="rId17">
        <w:r>
          <w:rPr>
            <w:color w:val="0000FF"/>
            <w:u w:val="single"/>
          </w:rPr>
          <w:t>gravesa@tsbvi.edu</w:t>
        </w:r>
      </w:hyperlink>
      <w:r>
        <w:rPr>
          <w:color w:val="000000"/>
        </w:rPr>
        <w:t>, 512-206-9314</w:t>
      </w:r>
    </w:p>
    <w:p w:rsidR="003D4DB0" w:rsidRDefault="00982761">
      <w:pPr>
        <w:numPr>
          <w:ilvl w:val="0"/>
          <w:numId w:val="1"/>
        </w:numPr>
        <w:pBdr>
          <w:top w:val="nil"/>
          <w:left w:val="nil"/>
          <w:bottom w:val="nil"/>
          <w:right w:val="nil"/>
          <w:between w:val="nil"/>
        </w:pBdr>
        <w:spacing w:before="60" w:after="60"/>
      </w:pPr>
      <w:r>
        <w:rPr>
          <w:color w:val="000000"/>
        </w:rPr>
        <w:t xml:space="preserve">Chris Montgomery, Education Consultant, </w:t>
      </w:r>
      <w:hyperlink r:id="rId18">
        <w:r>
          <w:rPr>
            <w:color w:val="0000FF"/>
            <w:u w:val="single"/>
          </w:rPr>
          <w:t>montgomeryc@tsbvi.edu</w:t>
        </w:r>
      </w:hyperlink>
      <w:r>
        <w:rPr>
          <w:color w:val="000000"/>
        </w:rPr>
        <w:t>, 512-206-9359</w:t>
      </w:r>
    </w:p>
    <w:p w:rsidR="00982761" w:rsidRPr="00982761" w:rsidRDefault="00982761">
      <w:pPr>
        <w:numPr>
          <w:ilvl w:val="0"/>
          <w:numId w:val="1"/>
        </w:numPr>
        <w:pBdr>
          <w:top w:val="nil"/>
          <w:left w:val="nil"/>
          <w:bottom w:val="nil"/>
          <w:right w:val="nil"/>
          <w:between w:val="nil"/>
        </w:pBdr>
        <w:spacing w:before="60" w:after="60"/>
      </w:pPr>
      <w:r>
        <w:t xml:space="preserve">Chris Tabb, Orientation and Mobility Consultant, </w:t>
      </w:r>
      <w:hyperlink r:id="rId19" w:history="1">
        <w:r w:rsidRPr="007A3968">
          <w:rPr>
            <w:rStyle w:val="Hyperlink"/>
          </w:rPr>
          <w:t>tabbc@tsbvi.edu</w:t>
        </w:r>
      </w:hyperlink>
      <w:r>
        <w:t>, 512-206-9226</w:t>
      </w:r>
    </w:p>
    <w:p w:rsidR="003D4DB0" w:rsidRDefault="00982761">
      <w:pPr>
        <w:numPr>
          <w:ilvl w:val="0"/>
          <w:numId w:val="1"/>
        </w:numPr>
        <w:pBdr>
          <w:top w:val="nil"/>
          <w:left w:val="nil"/>
          <w:bottom w:val="nil"/>
          <w:right w:val="nil"/>
          <w:between w:val="nil"/>
        </w:pBdr>
        <w:spacing w:before="60" w:after="60"/>
      </w:pPr>
      <w:r>
        <w:rPr>
          <w:color w:val="000000"/>
        </w:rPr>
        <w:t>David Wiley, Transiti</w:t>
      </w:r>
      <w:r>
        <w:rPr>
          <w:color w:val="000000"/>
        </w:rPr>
        <w:t xml:space="preserve">on Consultant, </w:t>
      </w:r>
      <w:hyperlink r:id="rId20">
        <w:r>
          <w:rPr>
            <w:color w:val="0000FF"/>
            <w:u w:val="single"/>
          </w:rPr>
          <w:t>wileyd@tsbvi.edu</w:t>
        </w:r>
      </w:hyperlink>
      <w:r>
        <w:rPr>
          <w:color w:val="000000"/>
        </w:rPr>
        <w:t>, 512-206-9219</w:t>
      </w:r>
    </w:p>
    <w:p w:rsidR="003D4DB0" w:rsidRDefault="003D4DB0"/>
    <w:p w:rsidR="003D4DB0" w:rsidRDefault="00982761">
      <w:pPr>
        <w:rPr>
          <w:sz w:val="20"/>
          <w:szCs w:val="20"/>
        </w:rPr>
      </w:pPr>
      <w:r>
        <w:rPr>
          <w:sz w:val="20"/>
          <w:szCs w:val="20"/>
        </w:rPr>
        <w:t>This project is supported by the U.S. Department of Education, Special Education Programs (OSEP). Opinions expressed here are the authors’ and do not necessarily represent the position of the Department of Education.</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62940" cy="457200"/>
            <wp:effectExtent l="0" t="0" r="0" b="0"/>
            <wp:wrapSquare wrapText="bothSides" distT="0" distB="0" distL="114300" distR="114300"/>
            <wp:docPr id="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1"/>
                    <a:srcRect/>
                    <a:stretch>
                      <a:fillRect/>
                    </a:stretch>
                  </pic:blipFill>
                  <pic:spPr>
                    <a:xfrm>
                      <a:off x="0" y="0"/>
                      <a:ext cx="662940" cy="457200"/>
                    </a:xfrm>
                    <a:prstGeom prst="rect">
                      <a:avLst/>
                    </a:prstGeom>
                    <a:ln/>
                  </pic:spPr>
                </pic:pic>
              </a:graphicData>
            </a:graphic>
          </wp:anchor>
        </w:drawing>
      </w:r>
    </w:p>
    <w:sectPr w:rsidR="003D4D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48DB"/>
    <w:multiLevelType w:val="multilevel"/>
    <w:tmpl w:val="8BAA5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9C0851"/>
    <w:multiLevelType w:val="multilevel"/>
    <w:tmpl w:val="5E149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B0"/>
    <w:rsid w:val="003D4DB0"/>
    <w:rsid w:val="0098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59B3"/>
  <w15:docId w15:val="{8F6EC7F1-465F-416F-92FB-FCEFD5A2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F8"/>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pPr>
      <w:spacing w:before="240" w:after="240"/>
    </w:pPr>
    <w:rPr>
      <w:i/>
      <w:sz w:val="28"/>
      <w:szCs w:val="28"/>
    </w:rPr>
  </w:style>
  <w:style w:type="character" w:customStyle="1" w:styleId="SubtitleChar">
    <w:name w:val="Subtitle Char"/>
    <w:basedOn w:val="DefaultParagraphFont"/>
    <w:link w:val="Subtitle"/>
    <w:rsid w:val="001A1AF8"/>
    <w:rPr>
      <w:rFonts w:ascii="Arial" w:eastAsiaTheme="majorEastAsia" w:hAnsi="Arial" w:cstheme="majorBidi"/>
      <w:i/>
      <w:iCs/>
      <w:spacing w:val="15"/>
      <w:sz w:val="28"/>
      <w:szCs w:val="24"/>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724F"/>
    <w:rPr>
      <w:rFonts w:ascii="Tahoma" w:hAnsi="Tahoma" w:cs="Tahoma"/>
      <w:sz w:val="16"/>
      <w:szCs w:val="16"/>
    </w:rPr>
  </w:style>
  <w:style w:type="character" w:customStyle="1" w:styleId="BalloonTextChar">
    <w:name w:val="Balloon Text Char"/>
    <w:basedOn w:val="DefaultParagraphFont"/>
    <w:link w:val="BalloonText"/>
    <w:rsid w:val="005E724F"/>
    <w:rPr>
      <w:rFonts w:ascii="Tahoma" w:hAnsi="Tahoma" w:cs="Tahoma"/>
      <w:sz w:val="16"/>
      <w:szCs w:val="1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obeckb@tsbvi.edu" TargetMode="External"/><Relationship Id="rId18" Type="http://schemas.openxmlformats.org/officeDocument/2006/relationships/hyperlink" Target="mailto:montgomeryc@tsbvi.edu" TargetMode="Externa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hyperlink" Target="http://www.tsbvi.edu" TargetMode="External"/><Relationship Id="rId12" Type="http://schemas.openxmlformats.org/officeDocument/2006/relationships/hyperlink" Target="mailto:slades@tsbvi.edu" TargetMode="External"/><Relationship Id="rId17" Type="http://schemas.openxmlformats.org/officeDocument/2006/relationships/hyperlink" Target="mailto:gravesa@tsbvi.edu" TargetMode="External"/><Relationship Id="rId2" Type="http://schemas.openxmlformats.org/officeDocument/2006/relationships/numbering" Target="numbering.xml"/><Relationship Id="rId16" Type="http://schemas.openxmlformats.org/officeDocument/2006/relationships/hyperlink" Target="mailto:bennettk@tsbvi.edu" TargetMode="External"/><Relationship Id="rId20" Type="http://schemas.openxmlformats.org/officeDocument/2006/relationships/hyperlink" Target="mailto:wileyd@tsbvi.edu"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borgk@tsbvi.edu" TargetMode="External"/><Relationship Id="rId5" Type="http://schemas.openxmlformats.org/officeDocument/2006/relationships/webSettings" Target="webSettings.xml"/><Relationship Id="rId15" Type="http://schemas.openxmlformats.org/officeDocument/2006/relationships/hyperlink" Target="mailto:petersond@tsbvi.edu" TargetMode="External"/><Relationship Id="rId23" Type="http://schemas.openxmlformats.org/officeDocument/2006/relationships/theme" Target="theme/theme1.xml"/><Relationship Id="rId10" Type="http://schemas.openxmlformats.org/officeDocument/2006/relationships/hyperlink" Target="https://www.tsbvi.edu/req-outreach-services/tx-senseabilities" TargetMode="External"/><Relationship Id="rId19" Type="http://schemas.openxmlformats.org/officeDocument/2006/relationships/hyperlink" Target="mailto:tabbc@tsbvi.edu" TargetMode="External"/><Relationship Id="rId4" Type="http://schemas.openxmlformats.org/officeDocument/2006/relationships/settings" Target="settings.xml"/><Relationship Id="rId9" Type="http://schemas.openxmlformats.org/officeDocument/2006/relationships/hyperlink" Target="https://tinyurl.com/tsbvi-deafblindproject" TargetMode="External"/><Relationship Id="rId14" Type="http://schemas.openxmlformats.org/officeDocument/2006/relationships/hyperlink" Target="mailto:bellahe@tsbv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k6NQNI/1g2cqkqiJSk4SzFF+Q==">AMUW2mXZu3Yu2jOM3msP9r5B9ufl4Ij/ZREadiXf2CcedG8N8mLqRECJKRvg2QRJFwYMFreREOLG+d7gskKoJsvb9wwJPQ32cnsMnrMTU3fvPLlWVTfak3dTlEZjj+kcks7z40+YRi7b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2</cp:revision>
  <dcterms:created xsi:type="dcterms:W3CDTF">2021-02-07T17:06:00Z</dcterms:created>
  <dcterms:modified xsi:type="dcterms:W3CDTF">2021-02-07T17:06:00Z</dcterms:modified>
</cp:coreProperties>
</file>